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7C401C"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D81DA0">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201F9D">
        <w:rPr>
          <w:rFonts w:ascii="Times New Roman" w:hAnsi="Times New Roman"/>
          <w:lang w:val="lt-LT"/>
        </w:rPr>
        <w:t>Hidraulinė</w:t>
      </w:r>
      <w:r w:rsidRPr="00292616">
        <w:rPr>
          <w:rFonts w:ascii="Times New Roman" w:hAnsi="Times New Roman"/>
          <w:lang w:val="lt-LT"/>
        </w:rPr>
        <w:t xml:space="preserve"> alyva</w:t>
      </w:r>
      <w:r w:rsidR="00806EB9">
        <w:rPr>
          <w:rFonts w:ascii="Times New Roman" w:hAnsi="Times New Roman"/>
          <w:bCs/>
          <w:lang w:val="lt-LT"/>
        </w:rPr>
        <w:t>Chempioil</w:t>
      </w:r>
      <w:r w:rsidR="00201F9D">
        <w:rPr>
          <w:rFonts w:ascii="Times New Roman" w:hAnsi="Times New Roman"/>
          <w:bCs/>
          <w:lang w:val="lt-LT"/>
        </w:rPr>
        <w:t xml:space="preserve">Hydro ISO </w:t>
      </w:r>
      <w:r w:rsidR="00953779">
        <w:rPr>
          <w:rFonts w:ascii="Times New Roman" w:hAnsi="Times New Roman"/>
          <w:bCs/>
          <w:lang w:val="lt-LT"/>
        </w:rPr>
        <w:t>46</w:t>
      </w:r>
    </w:p>
    <w:p w:rsidR="00746470" w:rsidRPr="00746470" w:rsidRDefault="009B0684" w:rsidP="0074647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BE277A" w:rsidRPr="00BE277A">
        <w:rPr>
          <w:rFonts w:ascii="Times New Roman" w:hAnsi="Times New Roman"/>
          <w:lang w:val="lt-LT"/>
        </w:rPr>
        <w:t>alyva skirta hidraulinėms sistemoms (įvairių tipų siurbliai, presai, staklės ir jų judančios dalys, civilinės statybos įrengimai).</w:t>
      </w:r>
      <w:r w:rsidR="00746470" w:rsidRPr="00746470">
        <w:rPr>
          <w:rFonts w:ascii="Times New Roman" w:hAnsi="Times New Roman"/>
          <w:lang w:val="lt-LT"/>
        </w:rPr>
        <w:t>.</w:t>
      </w:r>
    </w:p>
    <w:p w:rsidR="00465738" w:rsidRPr="00292616" w:rsidRDefault="00465738" w:rsidP="00465738">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465738" w:rsidRPr="00292616" w:rsidRDefault="00465738" w:rsidP="00465738">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465738" w:rsidRPr="00292616" w:rsidRDefault="00465738" w:rsidP="00465738">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465738" w:rsidRPr="00292616" w:rsidRDefault="00465738" w:rsidP="00465738">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CE569B"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CE569B">
        <w:rPr>
          <w:rFonts w:ascii="Times New Roman" w:hAnsi="Times New Roman"/>
          <w:lang w:val="lt-LT"/>
        </w:rPr>
        <w:t>(ES) Nr.</w:t>
      </w:r>
      <w:r w:rsidR="00CE569B"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CE569B" w:rsidRPr="00292616" w:rsidRDefault="00CE569B" w:rsidP="00442445">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D81DA0">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CE569B"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CE569B" w:rsidRPr="00292616" w:rsidRDefault="009B0684" w:rsidP="00CE569B">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CE569B">
        <w:rPr>
          <w:rFonts w:ascii="Times New Roman" w:hAnsi="Times New Roman"/>
          <w:lang w:val="lt-LT"/>
        </w:rPr>
        <w:t>(ES) Nr.</w:t>
      </w:r>
      <w:r w:rsidR="00CE569B"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7C401C"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CE569B" w:rsidRPr="00292616" w:rsidTr="006D27E1">
        <w:trPr>
          <w:trHeight w:val="884"/>
        </w:trPr>
        <w:tc>
          <w:tcPr>
            <w:tcW w:w="678"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CE569B" w:rsidRPr="007C401C" w:rsidTr="006D27E1">
        <w:tc>
          <w:tcPr>
            <w:tcW w:w="678"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CE569B" w:rsidRPr="00201F9D"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cinko bis[O,O-bis(2-etilheksil)]bis(ditiofosfatas) C16H35O2PS2.1/2Zn</w:t>
            </w:r>
          </w:p>
        </w:tc>
        <w:tc>
          <w:tcPr>
            <w:tcW w:w="1450"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CE569B" w:rsidRPr="00292616" w:rsidRDefault="00CE569B"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AquaticChronic 2; H411; Eye Dam.1;H318</w:t>
            </w:r>
          </w:p>
          <w:p w:rsidR="00CE569B" w:rsidRPr="00292616" w:rsidRDefault="00CE569B"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CE569B" w:rsidRPr="00201F9D" w:rsidTr="006D27E1">
        <w:tc>
          <w:tcPr>
            <w:tcW w:w="678"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269-119-5</w:t>
            </w:r>
          </w:p>
        </w:tc>
        <w:tc>
          <w:tcPr>
            <w:tcW w:w="965"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68187-67-7</w:t>
            </w:r>
          </w:p>
        </w:tc>
        <w:tc>
          <w:tcPr>
            <w:tcW w:w="1606"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E569B" w:rsidRPr="00201F9D"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aminai, C12-14-alkil, izooktilfosfatai</w:t>
            </w:r>
          </w:p>
        </w:tc>
        <w:tc>
          <w:tcPr>
            <w:tcW w:w="1450" w:type="dxa"/>
          </w:tcPr>
          <w:p w:rsidR="00CE569B" w:rsidRPr="00292616"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0,02-0,03 </w:t>
            </w:r>
            <w:r w:rsidRPr="00292616">
              <w:rPr>
                <w:sz w:val="16"/>
                <w:szCs w:val="16"/>
                <w:lang w:eastAsia="en-US"/>
              </w:rPr>
              <w:t>%</w:t>
            </w:r>
          </w:p>
        </w:tc>
        <w:tc>
          <w:tcPr>
            <w:tcW w:w="1507" w:type="dxa"/>
          </w:tcPr>
          <w:p w:rsidR="00CE569B" w:rsidRPr="00292616" w:rsidRDefault="00CE569B"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Acute Tox.4</w:t>
            </w:r>
            <w:r w:rsidRPr="00292616">
              <w:rPr>
                <w:sz w:val="16"/>
                <w:szCs w:val="16"/>
                <w:lang w:eastAsia="en-US"/>
              </w:rPr>
              <w:t>; H</w:t>
            </w:r>
            <w:r>
              <w:rPr>
                <w:sz w:val="16"/>
                <w:szCs w:val="16"/>
                <w:lang w:eastAsia="en-US"/>
              </w:rPr>
              <w:t>302;Aquatic Chronic 2; H411</w:t>
            </w:r>
          </w:p>
          <w:p w:rsidR="00CE569B" w:rsidRPr="00292616" w:rsidRDefault="00CE569B"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Skin.Corr.;H314</w:t>
            </w:r>
          </w:p>
        </w:tc>
      </w:tr>
      <w:tr w:rsidR="00CE569B" w:rsidRPr="00201F9D" w:rsidTr="006D27E1">
        <w:tc>
          <w:tcPr>
            <w:tcW w:w="678" w:type="dxa"/>
          </w:tcPr>
          <w:p w:rsidR="00CE569B"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CE569B"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CE569B"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CE569B" w:rsidRPr="00201F9D" w:rsidRDefault="00CE569B"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rPr>
              <w:t>Alkylsuccinic rūgštis pusiau esteris</w:t>
            </w:r>
          </w:p>
        </w:tc>
        <w:tc>
          <w:tcPr>
            <w:tcW w:w="1450" w:type="dxa"/>
          </w:tcPr>
          <w:p w:rsidR="00CE569B" w:rsidRDefault="00CE569B"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0,006-0,015</w:t>
            </w:r>
            <w:r w:rsidRPr="00292616">
              <w:rPr>
                <w:sz w:val="16"/>
                <w:szCs w:val="16"/>
                <w:lang w:eastAsia="en-US"/>
              </w:rPr>
              <w:t>%</w:t>
            </w:r>
          </w:p>
        </w:tc>
        <w:tc>
          <w:tcPr>
            <w:tcW w:w="1507" w:type="dxa"/>
          </w:tcPr>
          <w:p w:rsidR="00CE569B" w:rsidRDefault="00CE569B"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AquaticChronic 3; 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D85251" w:rsidRDefault="00D85251" w:rsidP="00D85251">
      <w:pPr>
        <w:spacing w:after="0" w:line="240" w:lineRule="auto"/>
        <w:rPr>
          <w:rFonts w:ascii="Times New Roman" w:hAnsi="Times New Roman"/>
          <w:lang w:val="lt-LT"/>
        </w:rPr>
      </w:pPr>
      <w:r>
        <w:rPr>
          <w:rFonts w:ascii="Times New Roman" w:hAnsi="Times New Roman"/>
          <w:lang w:val="lt-LT"/>
        </w:rPr>
        <w:lastRenderedPageBreak/>
        <w:t>Mišinio sudėtyje yra bazinių alyvų kurios neklasifikuojamos  kaip pavojingos  pagal reglamentą (ES) Nr. 1272/2008 , (DMSO ekstraktas ( IP 346)  &lt; 3 % neklasifikojamos kaip kancerogeninės, pagal klampą nepriskiriamos prie medžiagų toksiškų įkvėpus)</w:t>
      </w:r>
    </w:p>
    <w:p w:rsidR="00D85251" w:rsidRDefault="00D85251" w:rsidP="00D85251">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D81DA0">
        <w:rPr>
          <w:rFonts w:ascii="Times New Roman" w:hAnsi="Times New Roman"/>
          <w:b/>
          <w:lang w:val="lt-LT"/>
        </w:rPr>
        <w:t>Nurodymas apie bet kokios neatidėliotinos medicinos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D81DA0">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D81DA0">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D81DA0">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953779">
              <w:rPr>
                <w:rFonts w:ascii="Times New Roman" w:hAnsi="Times New Roman"/>
                <w:lang w:val="lt-LT"/>
              </w:rPr>
              <w:t>883</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8428E">
              <w:rPr>
                <w:rFonts w:ascii="Times New Roman" w:hAnsi="Times New Roman"/>
                <w:lang w:val="lt-LT"/>
              </w:rPr>
              <w:t xml:space="preserve">minus </w:t>
            </w:r>
            <w:r w:rsidR="00953779">
              <w:rPr>
                <w:rFonts w:ascii="Times New Roman" w:hAnsi="Times New Roman"/>
                <w:lang w:val="lt-LT"/>
              </w:rPr>
              <w:t>3</w:t>
            </w:r>
            <w:r w:rsidR="003A37B5">
              <w:rPr>
                <w:rFonts w:ascii="Times New Roman" w:hAnsi="Times New Roman"/>
                <w:lang w:val="lt-LT"/>
              </w:rPr>
              <w:t>3</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78428E">
              <w:rPr>
                <w:rFonts w:ascii="Times New Roman" w:hAnsi="Times New Roman"/>
                <w:lang w:val="lt-LT"/>
              </w:rPr>
              <w:t>&gt;2</w:t>
            </w:r>
            <w:r w:rsidR="00201F9D">
              <w:rPr>
                <w:rFonts w:ascii="Times New Roman" w:hAnsi="Times New Roman"/>
                <w:lang w:val="lt-LT"/>
              </w:rPr>
              <w:t>00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292616">
              <w:rPr>
                <w:lang w:val="lt-LT"/>
              </w:rPr>
              <w:t>Klampa(</w:t>
            </w:r>
            <w:r w:rsidR="00201F9D">
              <w:rPr>
                <w:lang w:val="lt-LT"/>
              </w:rPr>
              <w:t>40</w:t>
            </w:r>
            <w:r w:rsidRPr="00292616">
              <w:rPr>
                <w:rFonts w:ascii="Times New Roman" w:hAnsi="Times New Roman"/>
                <w:lang w:val="lt-LT"/>
              </w:rPr>
              <w:t xml:space="preserve">°C)                                        </w:t>
            </w:r>
            <w:r w:rsidR="00953779">
              <w:rPr>
                <w:rFonts w:ascii="Times New Roman" w:hAnsi="Times New Roman"/>
                <w:lang w:val="lt-LT"/>
              </w:rPr>
              <w:t>41,4-50,6</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456ED0" w:rsidRPr="00292616" w:rsidRDefault="00456ED0" w:rsidP="00456ED0">
            <w:pPr>
              <w:spacing w:after="0" w:line="240" w:lineRule="auto"/>
              <w:rPr>
                <w:rFonts w:ascii="Times New Roman" w:hAnsi="Times New Roman"/>
                <w:lang w:val="lt-LT"/>
              </w:rPr>
            </w:pPr>
            <w:r>
              <w:rPr>
                <w:rFonts w:ascii="Times New Roman" w:hAnsi="Times New Roman"/>
                <w:lang w:val="lt-LT"/>
              </w:rPr>
              <w:t>Klampa (100</w:t>
            </w:r>
            <w:r w:rsidRPr="00292616">
              <w:rPr>
                <w:rFonts w:ascii="Times New Roman" w:hAnsi="Times New Roman"/>
                <w:lang w:val="lt-LT"/>
              </w:rPr>
              <w:t>°C</w:t>
            </w:r>
            <w:r>
              <w:rPr>
                <w:rFonts w:ascii="Times New Roman" w:hAnsi="Times New Roman"/>
                <w:lang w:val="lt-LT"/>
              </w:rPr>
              <w:t xml:space="preserve">)                                             &gt;6,0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7C401C"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7C401C"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465738">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465738">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Nėra duomenų, rodančių, kad produktas arba jo komponentai galėtų būti mutageniški</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12.1 Toksiškumas</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7C401C"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lastRenderedPageBreak/>
        <w:t>H302-kenksminga prarijus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H314-smarkiai nudegina odą ir pažeidžia akis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2A394F" w:rsidRPr="00292616" w:rsidRDefault="002A394F" w:rsidP="00C8120C">
      <w:pPr>
        <w:spacing w:after="0" w:line="240" w:lineRule="auto"/>
        <w:jc w:val="both"/>
        <w:rPr>
          <w:rFonts w:ascii="Times New Roman" w:hAnsi="Times New Roman"/>
          <w:bCs/>
          <w:lang w:val="lt-LT"/>
        </w:rPr>
      </w:pPr>
    </w:p>
    <w:p w:rsidR="00456ED0" w:rsidRPr="00C92CA9" w:rsidRDefault="00456ED0" w:rsidP="00456ED0">
      <w:pPr>
        <w:spacing w:after="0" w:line="240" w:lineRule="auto"/>
        <w:jc w:val="both"/>
        <w:rPr>
          <w:rFonts w:ascii="Times New Roman" w:hAnsi="Times New Roman"/>
          <w:lang w:val="lt-LT"/>
        </w:rPr>
      </w:pPr>
      <w:r w:rsidRPr="00C92CA9">
        <w:rPr>
          <w:rFonts w:ascii="Times New Roman" w:hAnsi="Times New Roman"/>
          <w:lang w:val="lt-LT"/>
        </w:rPr>
        <w:t>AquaticChronic - pavojingas vandens aplinkai - lėtinis</w:t>
      </w:r>
    </w:p>
    <w:p w:rsidR="00456ED0" w:rsidRDefault="00456ED0" w:rsidP="00456ED0">
      <w:pPr>
        <w:spacing w:after="0" w:line="240" w:lineRule="auto"/>
        <w:jc w:val="both"/>
        <w:rPr>
          <w:rFonts w:ascii="Times New Roman" w:hAnsi="Times New Roman"/>
          <w:lang w:val="lt-LT"/>
        </w:rPr>
      </w:pPr>
      <w:r w:rsidRPr="00C92CA9">
        <w:rPr>
          <w:rFonts w:ascii="Times New Roman" w:hAnsi="Times New Roman"/>
          <w:lang w:val="lt-LT"/>
        </w:rPr>
        <w:t>SkinIrrit. - odos dirginimas</w:t>
      </w:r>
    </w:p>
    <w:p w:rsidR="00456ED0" w:rsidRPr="00C92CA9" w:rsidRDefault="00456ED0" w:rsidP="00456ED0">
      <w:pPr>
        <w:spacing w:after="0" w:line="240" w:lineRule="auto"/>
        <w:jc w:val="both"/>
        <w:rPr>
          <w:rFonts w:ascii="Times New Roman" w:hAnsi="Times New Roman"/>
          <w:lang w:val="lt-LT"/>
        </w:rPr>
      </w:pPr>
      <w:r>
        <w:rPr>
          <w:rFonts w:ascii="Times New Roman" w:hAnsi="Times New Roman"/>
          <w:lang w:val="lt-LT"/>
        </w:rPr>
        <w:t>SkinCorr.-odos ėsdinimas</w:t>
      </w:r>
    </w:p>
    <w:p w:rsidR="00456ED0" w:rsidRDefault="00456ED0" w:rsidP="00456ED0">
      <w:pPr>
        <w:spacing w:after="0" w:line="240" w:lineRule="auto"/>
        <w:jc w:val="both"/>
        <w:rPr>
          <w:rFonts w:ascii="Times New Roman" w:hAnsi="Times New Roman"/>
          <w:lang w:val="lt-LT"/>
        </w:rPr>
      </w:pPr>
      <w:r w:rsidRPr="00C92CA9">
        <w:rPr>
          <w:rFonts w:ascii="Times New Roman" w:hAnsi="Times New Roman"/>
          <w:lang w:val="lt-LT"/>
        </w:rPr>
        <w:t>EyeIrrit. - akių dirginimas</w:t>
      </w:r>
    </w:p>
    <w:p w:rsidR="00456ED0" w:rsidRPr="00C92CA9" w:rsidRDefault="00456ED0" w:rsidP="00456ED0">
      <w:pPr>
        <w:spacing w:after="0" w:line="240" w:lineRule="auto"/>
        <w:jc w:val="both"/>
        <w:rPr>
          <w:rFonts w:ascii="Times New Roman" w:hAnsi="Times New Roman"/>
          <w:lang w:val="lt-LT"/>
        </w:rPr>
      </w:pPr>
      <w:r>
        <w:rPr>
          <w:rFonts w:ascii="Times New Roman" w:hAnsi="Times New Roman"/>
          <w:lang w:val="lt-LT"/>
        </w:rPr>
        <w:t>Eye dam.-akių pažeidimas</w:t>
      </w:r>
    </w:p>
    <w:p w:rsidR="00456ED0" w:rsidRDefault="00456ED0" w:rsidP="00456ED0">
      <w:pPr>
        <w:spacing w:after="0" w:line="240" w:lineRule="auto"/>
        <w:jc w:val="both"/>
        <w:rPr>
          <w:rFonts w:ascii="Times New Roman" w:hAnsi="Times New Roman"/>
          <w:bCs/>
          <w:lang w:val="en-US"/>
        </w:rPr>
      </w:pPr>
      <w:r w:rsidRPr="00C92CA9">
        <w:rPr>
          <w:rFonts w:ascii="Times New Roman" w:hAnsi="Times New Roman"/>
          <w:lang w:val="lt-LT"/>
        </w:rPr>
        <w:t>AquaticAcute - pavojingas vandens aplinkai – ūmus</w:t>
      </w:r>
      <w:r w:rsidRPr="00C92CA9">
        <w:rPr>
          <w:rFonts w:ascii="Times New Roman" w:hAnsi="Times New Roman"/>
          <w:lang w:val="lt-LT"/>
        </w:rPr>
        <w:cr/>
      </w:r>
    </w:p>
    <w:p w:rsidR="00456ED0" w:rsidRPr="00E31FE2" w:rsidRDefault="00456ED0" w:rsidP="00456ED0">
      <w:pPr>
        <w:spacing w:after="0" w:line="240" w:lineRule="auto"/>
        <w:jc w:val="both"/>
        <w:rPr>
          <w:rFonts w:ascii="Times New Roman" w:hAnsi="Times New Roman"/>
          <w:b/>
          <w:bCs/>
          <w:lang w:val="en-US"/>
        </w:rPr>
      </w:pPr>
      <w:r w:rsidRPr="00E31FE2">
        <w:rPr>
          <w:rFonts w:ascii="Times New Roman" w:hAnsi="Times New Roman"/>
          <w:b/>
          <w:bCs/>
          <w:lang w:val="en-US"/>
        </w:rPr>
        <w:t>Pagrindiųduomenų, naudotųpildantsaugosduomenųlapą ,šaltiniai</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DegiųskysčiųreglamentasVbF AT V 1.2</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cheminiųmedžiagųregistracijos, įvertinimoirribojimųreglamentas (REACH):</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Klasifikavimasirženklinimas, inventorius</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VykdomasisįsakymasNr. 301 Bekendtgørelseomfastsættelseafkodenumre</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Arbejdstilsynetsbekendtgørelsenr. 301 af 1. maj 1993 (MAL Code)</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sécuritésociale (titre VI du livre IV). (maladiesprofessionnelles)</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EkonominėKomisijaEuropai: Europossutartisdėlpavojingųkroviniųtarptautiniųvežimų</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KompanijosInfineumtyrimai</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Tarptautinėvėžiotyrimųagentūra</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Tarptautinėorotransportoorganizacija: Pavojingųkroviniųtaisyklės.</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TarptautinėJūrųorganizacija: Tarptautinisjūragabenamųpavojingųkroviniųkodeksas</w:t>
      </w:r>
    </w:p>
    <w:p w:rsidR="00456ED0" w:rsidRPr="00E31FE2" w:rsidRDefault="00456ED0" w:rsidP="00456ED0">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Komponentųtiekėjoduomenys</w:t>
      </w:r>
    </w:p>
    <w:p w:rsidR="00456ED0" w:rsidRPr="00E31FE2" w:rsidRDefault="00456ED0" w:rsidP="00456ED0">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Saugosduomen</w:t>
      </w:r>
      <w:r w:rsidRPr="00E31FE2">
        <w:rPr>
          <w:rFonts w:ascii="Times New Roman" w:hAnsi="Times New Roman"/>
          <w:lang w:val="en-US"/>
        </w:rPr>
        <w:t>ų</w:t>
      </w:r>
      <w:r w:rsidRPr="00E31FE2">
        <w:rPr>
          <w:rFonts w:ascii="Times New Roman" w:hAnsi="Times New Roman"/>
          <w:b/>
          <w:bCs/>
          <w:lang w:val="en-US"/>
        </w:rPr>
        <w:t>lapenaudojam</w:t>
      </w:r>
      <w:r w:rsidRPr="00E31FE2">
        <w:rPr>
          <w:rFonts w:ascii="Times New Roman" w:hAnsi="Times New Roman"/>
          <w:lang w:val="en-US"/>
        </w:rPr>
        <w:t>ų</w:t>
      </w:r>
      <w:r w:rsidRPr="00E31FE2">
        <w:rPr>
          <w:rFonts w:ascii="Times New Roman" w:hAnsi="Times New Roman"/>
          <w:b/>
          <w:bCs/>
          <w:lang w:val="en-US"/>
        </w:rPr>
        <w:t>santrump</w:t>
      </w:r>
      <w:r w:rsidRPr="00E31FE2">
        <w:rPr>
          <w:rFonts w:ascii="Times New Roman" w:hAnsi="Times New Roman"/>
          <w:lang w:val="en-US"/>
        </w:rPr>
        <w:t>ų</w:t>
      </w:r>
      <w:r w:rsidRPr="00E31FE2">
        <w:rPr>
          <w:rFonts w:ascii="Times New Roman" w:hAnsi="Times New Roman"/>
          <w:b/>
          <w:bCs/>
          <w:lang w:val="en-US"/>
        </w:rPr>
        <w:t>irakronim</w:t>
      </w:r>
      <w:r w:rsidRPr="00E31FE2">
        <w:rPr>
          <w:rFonts w:ascii="Times New Roman" w:hAnsi="Times New Roman"/>
          <w:lang w:val="en-US"/>
        </w:rPr>
        <w:t>ų</w:t>
      </w:r>
      <w:r w:rsidRPr="00E31FE2">
        <w:rPr>
          <w:rFonts w:ascii="Times New Roman" w:hAnsi="Times New Roman"/>
          <w:b/>
          <w:bCs/>
          <w:lang w:val="en-US"/>
        </w:rPr>
        <w:t>paaiškinimai</w:t>
      </w:r>
    </w:p>
    <w:p w:rsidR="00456ED0" w:rsidRPr="00627411" w:rsidRDefault="00456ED0" w:rsidP="00456ED0">
      <w:pPr>
        <w:spacing w:after="0" w:line="240" w:lineRule="auto"/>
        <w:jc w:val="both"/>
        <w:rPr>
          <w:rFonts w:ascii="Times New Roman" w:hAnsi="Times New Roman"/>
          <w:bCs/>
          <w:lang w:val="en-US"/>
        </w:rPr>
      </w:pPr>
    </w:p>
    <w:p w:rsidR="00456ED0" w:rsidRPr="00627411" w:rsidRDefault="00456ED0" w:rsidP="00456ED0">
      <w:pPr>
        <w:spacing w:after="0" w:line="240" w:lineRule="auto"/>
        <w:jc w:val="both"/>
        <w:rPr>
          <w:rFonts w:ascii="Times New Roman" w:hAnsi="Times New Roman"/>
          <w:b/>
          <w:lang w:val="en-US"/>
        </w:rPr>
      </w:pPr>
      <w:r w:rsidRPr="00627411">
        <w:rPr>
          <w:rFonts w:ascii="Times New Roman" w:hAnsi="Times New Roman"/>
          <w:b/>
          <w:lang w:val="en-US"/>
        </w:rPr>
        <w:t>Santrumpos:</w:t>
      </w:r>
    </w:p>
    <w:p w:rsidR="00456ED0" w:rsidRPr="003512F1" w:rsidRDefault="00456ED0" w:rsidP="00456ED0">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456ED0" w:rsidRPr="003512F1" w:rsidRDefault="00456ED0" w:rsidP="00456ED0">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456ED0" w:rsidRDefault="00456ED0" w:rsidP="00456ED0">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ėldegiųskysčių(Austrijos)</w:t>
      </w:r>
    </w:p>
    <w:p w:rsidR="00456ED0" w:rsidRDefault="00456ED0" w:rsidP="00456ED0">
      <w:pPr>
        <w:spacing w:after="0" w:line="240" w:lineRule="auto"/>
        <w:jc w:val="both"/>
        <w:rPr>
          <w:rFonts w:ascii="Times New Roman" w:hAnsi="Times New Roman"/>
          <w:lang w:val="en-US"/>
        </w:rPr>
      </w:pPr>
      <w:r>
        <w:rPr>
          <w:rFonts w:ascii="Times New Roman" w:hAnsi="Times New Roman"/>
          <w:lang w:val="en-US"/>
        </w:rPr>
        <w:t>VOC-lakusorganinisjunginys</w:t>
      </w:r>
    </w:p>
    <w:p w:rsidR="00456ED0" w:rsidRPr="001710E9" w:rsidRDefault="00456ED0" w:rsidP="00456ED0">
      <w:pPr>
        <w:spacing w:after="0" w:line="240" w:lineRule="auto"/>
        <w:jc w:val="both"/>
        <w:rPr>
          <w:rFonts w:ascii="Times New Roman" w:hAnsi="Times New Roman"/>
          <w:lang w:val="en-US"/>
        </w:rPr>
      </w:pPr>
      <w:r>
        <w:rPr>
          <w:rFonts w:ascii="Times New Roman" w:hAnsi="Times New Roman"/>
          <w:lang w:val="en-US"/>
        </w:rPr>
        <w:t>WEL-darbovietospoveikio ribaEH40,TWA-ilgalaikio poveikioribinėvertė(8 val. TWA(laikovertėsvidurkis)ataskaitinislaikotarpis), STEL –trumpalaikiopoveikioribinėvertė(15 min ataskaitinislaikotarpis)/BMGV-biologinisstebėjimas, kontrolėnurodoreferencinęvertę EH40.</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CAS Nr. – Cheminiųmedžiagųsantrumpųtarnybosmedžiagaisuteiktasregistracijosnumeris;</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OSHA – Darbųsaugosirsveikatingumoadministracija, JAV;</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NIOSH – Nacionalinisdarbųsaugosirsveikatingumoinstitutas, JAV;</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ACGIH – Amerikosvalstybinėpramoniniųhigienistųkonferencija;</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IPRV- Ilgalaikiopoveikioribinėvertė;</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TPRV – Trumpalaikiopoveikioribinėvertė;</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IARC – KancerogenųklasifikacijapagalTarptautinęvėžiotyrimųagentūrą;</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LD – Letalinėdozė;</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lastRenderedPageBreak/>
        <w:t>RID – Tarptautinisgeležinkeliugabenamųkroviniųklasifikatorius;</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ADR – Europinistarptautinisautomobiliųkeliaissunkvežimiaisgabenamųkroviniųklasifikatorius;</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IATA – Tarptautinėorotransportoasociacija;</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DOT – JAV Transportodepartamentas;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ženklinimoirpakavimoreglamentas [Reglamentas (EB) Nr. 1272/2008]</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mutageninėartoksiškareprodukcijaicheminėmedžiaga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Cheminisdeguoniessuvartojimas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Kosmetikosgaminių, tualetiniųreikmenųirkvapiųjųmedžiagųgamintojųasociacija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Išvestinismažiausiojopoveikiolygis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Išvestinispoveikionesukeliantislygis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Ištirpusiorganinėanglis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DeutscherVerbandfürSchweissen und verwandteVerfahren eV</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Europosbendrija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Europoscheminiųmedžiagųagentūra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Europosekonominėerdvė</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Europosekonominėbendrija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Turimųkomerciniųcheminiųmedžiagųeuropinisaprašas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Europosregistruotųjųcheminiųmedžiagųsąrašas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Europosnormos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JungtiniųValstijųaplinkosapsaugosagentūra (JungtinėsAmerikosValstijos)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aplinkąKategorijos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Poveikioscenarijus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EuroposSąjunga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Europinisatliekųkatalogas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Pasauliniumastusuderintącheminiųmedžiagųklasifikavimoirženklinimosistemą</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Globaliniošiltėjimopotencialas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Tarptautinėvėžiotyrimųagentūra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Tarptautinėorotransportoasociacija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Vidutinėstalpostalpykla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Tarptautinisnesupakuotųcheminiųmedžiagųkodeksas.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Tarptautiniaijūraipavojingikroviniai</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Tarptautinėbendrosinformacijosduomenųbazėapiecheminesmedžiagas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Mažiausiosletališkumodozėsriba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Cheminėsmedžiagosmirtinadozė</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mirtinadozė</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Mažiausiamirtinadozė</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Mažiausiasnustatytasneigiamopoveikiolygis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Mažiausiapastebimąpoveikįsukeliantikoncentracija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Žemiausiaspastebimąpoveikįsukeliantislygis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Ribotaiskiekiais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Tarptautinėkonvencijadėlpriemoniųsaugotiokeanąnuoteršimo</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Nacionalinisdarbosaugosirsveikatosinstitutas (JungtinėsAmerikosValstijos)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Nestebimoneigiamoefektokoncentracija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Nestebimoneigiamoefektolygis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Nestebimoefektokoncentracija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Nepastebėtopoveikiolygis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Ozonoardymopotencilas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Ekonominiobendradarbiavimoirplėtrosorganizacija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Policikliniaiaromatiniaiangliavandeniliai</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biologiškaikaupiasiirtoksiškas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PC – Cheminioproduktokategorija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Prognozuojamapoveikionesukeliantikoncentracija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Fotocheminioozonosluoksniosusidarymopotencialas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Procesokategorija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dėlcheminiųmedžiagųregistracijos, įvertinimo, autorizacijosirapribojimų (REGLAMENTAS (EB) Nr 1907/2006 dėlcheminių</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medžiagųregistracijos, įvertinimo, autorizacijosirapribojimų)</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bookmarkStart w:id="0" w:name="_GoBack"/>
      <w:bookmarkEnd w:id="0"/>
      <w:r w:rsidRPr="00C7533C">
        <w:rPr>
          <w:rFonts w:ascii="Times New Roman" w:hAnsi="Times New Roman"/>
          <w:lang w:val="en-US" w:eastAsia="lt-LT"/>
        </w:rPr>
        <w:t>RID – Tarptautiniopavojingųjųkroviniųpervežimogeležinkeliaisreglamentai</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Skilimosavaiminiogreitėjimotemperatūra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Struktūrosirsavybiųryšionustatymometodika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Naudojimosektorius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Labaididelįsusirūpinimąkeliančiosmedžiagos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Teorinisdeguoniesporeikis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Bendrasorganinėsanglieskiekis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TechnischeRegelnfürGefahrstoffe (= techninispotvarkisdėlpavojingųmedžiagų)</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VerordnungüberbrennbareFlüssigkeiten (= Reglamentasdėldegiųskysčių (Austrijos))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Lakusisorganinisjunginys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labaipatvarusirlabaibiologiškaikaupiasi</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Poveikiodarbovietojeapribojimai - Ilgalaikiopoveikioribinėvertė (8 val. TWA (= laikovertės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ataskaitinislaikotarpis) WEL-STEL = Darbovietospoveikioriba - Trumpalaikiopoveikioribinėvertė (15 minučiųataskaitinis</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JungtinėKaralystė).</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Pasaulinėsveikatosorganizacija</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Šiinformacijayrapateiktapagaldabartinįžiniųlygį, atsižvelgiant į būtinassaugumopriemones. Tai nesuteikiajokiųprodukto</w:t>
      </w:r>
    </w:p>
    <w:p w:rsidR="00456ED0" w:rsidRPr="00C7533C" w:rsidRDefault="00456ED0" w:rsidP="00456ED0">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savybiųgarantijųirnenustatosutartiniųteisų. Saugosduomenųlapassudarytaspagaldabartinįžiniųlygį.</w:t>
      </w:r>
    </w:p>
    <w:p w:rsidR="00456ED0" w:rsidRPr="00C7533C" w:rsidRDefault="00456ED0" w:rsidP="00456ED0">
      <w:pPr>
        <w:spacing w:after="0" w:line="240" w:lineRule="auto"/>
        <w:jc w:val="both"/>
        <w:rPr>
          <w:rFonts w:ascii="Times New Roman" w:hAnsi="Times New Roman"/>
          <w:bCs/>
          <w:lang w:val="en-US"/>
        </w:rPr>
      </w:pPr>
      <w:r w:rsidRPr="00C7533C">
        <w:rPr>
          <w:rFonts w:ascii="Times New Roman" w:hAnsi="Times New Roman"/>
          <w:lang w:val="en-US" w:eastAsia="lt-LT"/>
        </w:rPr>
        <w:t>Šiepareiškimaibuvopadaryti:</w:t>
      </w:r>
    </w:p>
    <w:p w:rsidR="00456ED0" w:rsidRPr="00C7533C" w:rsidRDefault="00456ED0" w:rsidP="00456ED0">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456ED0" w:rsidRPr="00627411" w:rsidRDefault="00456ED0" w:rsidP="00456ED0">
      <w:pPr>
        <w:spacing w:after="0" w:line="240" w:lineRule="auto"/>
        <w:jc w:val="both"/>
        <w:rPr>
          <w:rFonts w:ascii="Times New Roman" w:hAnsi="Times New Roman"/>
          <w:bCs/>
          <w:lang w:val="en-US"/>
        </w:rPr>
      </w:pPr>
      <w:r w:rsidRPr="00627411">
        <w:rPr>
          <w:rFonts w:ascii="Times New Roman" w:hAnsi="Times New Roman"/>
          <w:bCs/>
          <w:lang w:val="en-US"/>
        </w:rPr>
        <w:t>Šiamesaugosduomenųlapepateiktiduomenysturibūtiprieinamivisiems, kuriųdarbasyrasusijęssucheminemedžiaga. Duomenysatitinkamūsųturimasžiniasiryraskirtiapibūdinticheminįproduktąsaugosirsveikatosdarbe, aplinkosapsaugosaspektais.Saugosduomenųlapoinformacija bus papildytaatsiradusnaujųduomenųapiepreparatopoveikįsveikataiiraplinkai, apieprevencijospriemonespavojamssumažintiarbajiemsvisiškaiišvengti. Saugosduomenųlapepateiktainformacijaneatskleidžiakitųspecifiniųcheminėsmedžiagossavybių.</w:t>
      </w:r>
    </w:p>
    <w:p w:rsidR="00456ED0" w:rsidRPr="00627411" w:rsidRDefault="00456ED0" w:rsidP="00456ED0">
      <w:pPr>
        <w:spacing w:after="0" w:line="240" w:lineRule="auto"/>
        <w:jc w:val="both"/>
        <w:rPr>
          <w:rFonts w:ascii="Times New Roman" w:hAnsi="Times New Roman"/>
          <w:b/>
          <w:u w:val="single"/>
          <w:lang w:val="en-US"/>
        </w:rPr>
      </w:pPr>
    </w:p>
    <w:p w:rsidR="00456ED0" w:rsidRPr="00627411" w:rsidRDefault="00456ED0" w:rsidP="00456ED0">
      <w:pPr>
        <w:spacing w:after="0" w:line="240" w:lineRule="auto"/>
        <w:jc w:val="both"/>
        <w:rPr>
          <w:rFonts w:ascii="Times New Roman" w:hAnsi="Times New Roman"/>
          <w:b/>
          <w:u w:val="single"/>
          <w:lang w:val="en-US"/>
        </w:rPr>
      </w:pPr>
    </w:p>
    <w:p w:rsidR="00456ED0" w:rsidRPr="00627411" w:rsidRDefault="00456ED0" w:rsidP="00456ED0">
      <w:pPr>
        <w:spacing w:after="0" w:line="240" w:lineRule="auto"/>
        <w:jc w:val="both"/>
        <w:rPr>
          <w:rFonts w:ascii="Times New Roman" w:hAnsi="Times New Roman"/>
          <w:b/>
          <w:u w:val="single"/>
          <w:lang w:val="en-US"/>
        </w:rPr>
      </w:pPr>
    </w:p>
    <w:p w:rsidR="00456ED0" w:rsidRPr="00627411" w:rsidRDefault="00456ED0" w:rsidP="00456ED0">
      <w:pPr>
        <w:spacing w:after="0" w:line="240" w:lineRule="auto"/>
        <w:rPr>
          <w:rFonts w:ascii="Times New Roman" w:hAnsi="Times New Roman"/>
          <w:lang w:val="en-US"/>
        </w:rPr>
      </w:pPr>
    </w:p>
    <w:p w:rsidR="00456ED0" w:rsidRPr="00627411" w:rsidRDefault="00456ED0" w:rsidP="00456ED0">
      <w:pPr>
        <w:spacing w:after="0" w:line="240" w:lineRule="auto"/>
        <w:rPr>
          <w:rFonts w:ascii="Times New Roman" w:hAnsi="Times New Roman"/>
          <w:lang w:val="en-US"/>
        </w:rPr>
      </w:pPr>
    </w:p>
    <w:p w:rsidR="009B0684" w:rsidRPr="00456ED0" w:rsidRDefault="00456ED0" w:rsidP="00C8120C">
      <w:pPr>
        <w:spacing w:after="0" w:line="240" w:lineRule="auto"/>
        <w:jc w:val="both"/>
        <w:rPr>
          <w:rFonts w:ascii="Times New Roman" w:hAnsi="Times New Roman"/>
          <w:bCs/>
          <w:lang w:val="en-US"/>
        </w:rPr>
      </w:pPr>
      <w:r w:rsidRPr="00627411">
        <w:rPr>
          <w:rFonts w:ascii="Times New Roman" w:hAnsi="Times New Roman"/>
          <w:lang w:val="lt-LT"/>
        </w:rPr>
        <w:tab/>
      </w: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CD" w:rsidRDefault="00AF2BCD" w:rsidP="0092009D">
      <w:pPr>
        <w:spacing w:after="0" w:line="240" w:lineRule="auto"/>
      </w:pPr>
      <w:r>
        <w:separator/>
      </w:r>
    </w:p>
  </w:endnote>
  <w:endnote w:type="continuationSeparator" w:id="1">
    <w:p w:rsidR="00AF2BCD" w:rsidRDefault="00AF2BCD"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825A0D">
    <w:pPr>
      <w:pStyle w:val="Footer"/>
      <w:rPr>
        <w:sz w:val="16"/>
        <w:szCs w:val="16"/>
        <w:lang w:val="en-US"/>
      </w:rPr>
    </w:pPr>
    <w:r w:rsidRPr="00825A0D">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825A0D"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825A0D" w:rsidRPr="00A93BCB">
      <w:rPr>
        <w:rFonts w:ascii="Arial" w:hAnsi="Arial" w:cs="Arial"/>
        <w:bCs/>
        <w:sz w:val="16"/>
        <w:szCs w:val="16"/>
        <w:lang w:val="en-US"/>
      </w:rPr>
      <w:fldChar w:fldCharType="separate"/>
    </w:r>
    <w:r w:rsidR="00465738">
      <w:rPr>
        <w:rFonts w:ascii="Arial" w:hAnsi="Arial" w:cs="Arial"/>
        <w:bCs/>
        <w:noProof/>
        <w:sz w:val="16"/>
        <w:szCs w:val="16"/>
        <w:lang w:val="en-US"/>
      </w:rPr>
      <w:t>1</w:t>
    </w:r>
    <w:r w:rsidR="00825A0D"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825A0D"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825A0D" w:rsidRPr="00A93BCB">
      <w:rPr>
        <w:rFonts w:ascii="Arial" w:hAnsi="Arial" w:cs="Arial"/>
        <w:bCs/>
        <w:sz w:val="16"/>
        <w:szCs w:val="16"/>
        <w:lang w:val="en-US"/>
      </w:rPr>
      <w:fldChar w:fldCharType="separate"/>
    </w:r>
    <w:r w:rsidR="00465738">
      <w:rPr>
        <w:rFonts w:ascii="Arial" w:hAnsi="Arial" w:cs="Arial"/>
        <w:bCs/>
        <w:noProof/>
        <w:sz w:val="16"/>
        <w:szCs w:val="16"/>
        <w:lang w:val="en-US"/>
      </w:rPr>
      <w:t>10</w:t>
    </w:r>
    <w:r w:rsidR="00825A0D"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Peržiūrėjimo data</w:t>
    </w:r>
    <w:r w:rsidRPr="00A93BCB">
      <w:rPr>
        <w:rFonts w:ascii="Arial" w:hAnsi="Arial" w:cs="Arial"/>
        <w:bCs/>
        <w:sz w:val="16"/>
        <w:szCs w:val="16"/>
        <w:lang w:val="en-US"/>
      </w:rPr>
      <w:t xml:space="preserve">: </w:t>
    </w:r>
    <w:r w:rsidR="00456ED0">
      <w:rPr>
        <w:rFonts w:ascii="Arial" w:hAnsi="Arial" w:cs="Arial"/>
        <w:bCs/>
        <w:sz w:val="16"/>
        <w:szCs w:val="16"/>
        <w:lang w:val="en-US"/>
      </w:rPr>
      <w:t>2015 05 21</w:t>
    </w:r>
    <w:r>
      <w:rPr>
        <w:rFonts w:ascii="Arial" w:hAnsi="Arial" w:cs="Arial"/>
        <w:bCs/>
        <w:sz w:val="16"/>
        <w:szCs w:val="16"/>
        <w:lang w:val="en-US"/>
      </w:rPr>
      <w:t xml:space="preserve">Spausdinimo data: </w:t>
    </w:r>
    <w:r w:rsidR="00825A0D">
      <w:rPr>
        <w:rFonts w:ascii="Arial" w:hAnsi="Arial" w:cs="Arial"/>
        <w:bCs/>
        <w:sz w:val="16"/>
        <w:szCs w:val="16"/>
      </w:rPr>
      <w:fldChar w:fldCharType="begin"/>
    </w:r>
    <w:r>
      <w:rPr>
        <w:rFonts w:ascii="Arial" w:hAnsi="Arial" w:cs="Arial"/>
        <w:bCs/>
        <w:sz w:val="16"/>
        <w:szCs w:val="16"/>
      </w:rPr>
      <w:instrText xml:space="preserve"> TIME \@ "yyyy.MM.dd" </w:instrText>
    </w:r>
    <w:r w:rsidR="00825A0D">
      <w:rPr>
        <w:rFonts w:ascii="Arial" w:hAnsi="Arial" w:cs="Arial"/>
        <w:bCs/>
        <w:sz w:val="16"/>
        <w:szCs w:val="16"/>
      </w:rPr>
      <w:fldChar w:fldCharType="separate"/>
    </w:r>
    <w:r w:rsidR="00465738">
      <w:rPr>
        <w:rFonts w:ascii="Arial" w:hAnsi="Arial" w:cs="Arial"/>
        <w:bCs/>
        <w:noProof/>
        <w:sz w:val="16"/>
        <w:szCs w:val="16"/>
      </w:rPr>
      <w:t>2015.11.30</w:t>
    </w:r>
    <w:r w:rsidR="00825A0D">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CD" w:rsidRDefault="00AF2BCD" w:rsidP="0092009D">
      <w:pPr>
        <w:spacing w:after="0" w:line="240" w:lineRule="auto"/>
      </w:pPr>
      <w:r>
        <w:separator/>
      </w:r>
    </w:p>
  </w:footnote>
  <w:footnote w:type="continuationSeparator" w:id="1">
    <w:p w:rsidR="00AF2BCD" w:rsidRDefault="00AF2BCD"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806EB9" w:rsidP="00B45C35">
    <w:pPr>
      <w:pStyle w:val="Header"/>
      <w:spacing w:line="288" w:lineRule="auto"/>
      <w:rPr>
        <w:b/>
        <w:sz w:val="32"/>
        <w:szCs w:val="32"/>
        <w:lang w:val="en-US"/>
      </w:rPr>
    </w:pPr>
    <w:r>
      <w:rPr>
        <w:b/>
        <w:sz w:val="32"/>
        <w:szCs w:val="32"/>
        <w:lang w:val="en-US"/>
      </w:rPr>
      <w:t>CHEMPIOIL</w:t>
    </w:r>
    <w:r w:rsidR="00BE277A">
      <w:rPr>
        <w:b/>
        <w:sz w:val="32"/>
        <w:szCs w:val="32"/>
        <w:lang w:val="en-US"/>
      </w:rPr>
      <w:t xml:space="preserve">Hydro ISO </w:t>
    </w:r>
    <w:r w:rsidR="00953779">
      <w:rPr>
        <w:b/>
        <w:sz w:val="32"/>
        <w:szCs w:val="32"/>
        <w:lang w:val="en-US"/>
      </w:rPr>
      <w:t>46</w:t>
    </w:r>
  </w:p>
  <w:p w:rsidR="009B0684" w:rsidRPr="00B30D3B" w:rsidRDefault="009B0684" w:rsidP="00B45C35">
    <w:pPr>
      <w:pStyle w:val="Header"/>
      <w:spacing w:line="288" w:lineRule="auto"/>
      <w:rPr>
        <w:b/>
        <w:sz w:val="32"/>
        <w:szCs w:val="32"/>
        <w:lang w:val="en-US"/>
      </w:rPr>
    </w:pPr>
    <w:r>
      <w:rPr>
        <w:sz w:val="24"/>
        <w:szCs w:val="24"/>
        <w:lang w:val="en-US"/>
      </w:rPr>
      <w:t>Atitinkareglamentą (ES) Nr</w:t>
    </w:r>
    <w:r w:rsidRPr="00B45C35">
      <w:rPr>
        <w:sz w:val="24"/>
        <w:szCs w:val="24"/>
        <w:lang w:val="en-US"/>
      </w:rPr>
      <w:t xml:space="preserve">. </w:t>
    </w:r>
    <w:r>
      <w:rPr>
        <w:sz w:val="24"/>
        <w:szCs w:val="24"/>
        <w:lang w:val="en-US"/>
      </w:rPr>
      <w:t xml:space="preserve">453/2010 </w:t>
    </w:r>
  </w:p>
  <w:p w:rsidR="009B0684" w:rsidRPr="00B45C35" w:rsidRDefault="00825A0D" w:rsidP="00B45C35">
    <w:pPr>
      <w:pStyle w:val="Header"/>
      <w:tabs>
        <w:tab w:val="clear" w:pos="9638"/>
        <w:tab w:val="right" w:pos="9639"/>
      </w:tabs>
      <w:spacing w:line="288" w:lineRule="auto"/>
      <w:rPr>
        <w:sz w:val="24"/>
        <w:szCs w:val="24"/>
        <w:lang w:val="en-US"/>
      </w:rPr>
    </w:pPr>
    <w:r w:rsidRPr="00825A0D">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64D32"/>
    <w:rsid w:val="000665FB"/>
    <w:rsid w:val="000A63FB"/>
    <w:rsid w:val="000B11C8"/>
    <w:rsid w:val="000D3CDB"/>
    <w:rsid w:val="000F027E"/>
    <w:rsid w:val="000F0D3A"/>
    <w:rsid w:val="00127922"/>
    <w:rsid w:val="00197C03"/>
    <w:rsid w:val="001B7E91"/>
    <w:rsid w:val="001C4CD0"/>
    <w:rsid w:val="001D4AD4"/>
    <w:rsid w:val="001E0DEA"/>
    <w:rsid w:val="001F0B2E"/>
    <w:rsid w:val="00201B5F"/>
    <w:rsid w:val="00201F9D"/>
    <w:rsid w:val="002344C1"/>
    <w:rsid w:val="00234F54"/>
    <w:rsid w:val="00251ACB"/>
    <w:rsid w:val="00292616"/>
    <w:rsid w:val="002A394F"/>
    <w:rsid w:val="002A5E0C"/>
    <w:rsid w:val="002A7073"/>
    <w:rsid w:val="002D7157"/>
    <w:rsid w:val="00310679"/>
    <w:rsid w:val="00333920"/>
    <w:rsid w:val="0033669A"/>
    <w:rsid w:val="003378F5"/>
    <w:rsid w:val="00350CD9"/>
    <w:rsid w:val="00370EE2"/>
    <w:rsid w:val="003959C4"/>
    <w:rsid w:val="003A13D4"/>
    <w:rsid w:val="003A37B5"/>
    <w:rsid w:val="003C0FC5"/>
    <w:rsid w:val="00400490"/>
    <w:rsid w:val="00401DAC"/>
    <w:rsid w:val="004066FC"/>
    <w:rsid w:val="0043186D"/>
    <w:rsid w:val="0044096D"/>
    <w:rsid w:val="00442445"/>
    <w:rsid w:val="00446751"/>
    <w:rsid w:val="00456ED0"/>
    <w:rsid w:val="00465738"/>
    <w:rsid w:val="00486ECE"/>
    <w:rsid w:val="00494B50"/>
    <w:rsid w:val="004F1810"/>
    <w:rsid w:val="00501169"/>
    <w:rsid w:val="0053164B"/>
    <w:rsid w:val="00534DA6"/>
    <w:rsid w:val="0053553E"/>
    <w:rsid w:val="00546C2B"/>
    <w:rsid w:val="00594E0E"/>
    <w:rsid w:val="005C5A76"/>
    <w:rsid w:val="005C7E70"/>
    <w:rsid w:val="005D0C8D"/>
    <w:rsid w:val="006112CC"/>
    <w:rsid w:val="00633EF5"/>
    <w:rsid w:val="00652B37"/>
    <w:rsid w:val="006621D2"/>
    <w:rsid w:val="00673E9A"/>
    <w:rsid w:val="006752D8"/>
    <w:rsid w:val="006A631C"/>
    <w:rsid w:val="006D0501"/>
    <w:rsid w:val="006D27E1"/>
    <w:rsid w:val="006D6CC6"/>
    <w:rsid w:val="0070255E"/>
    <w:rsid w:val="00716157"/>
    <w:rsid w:val="00737452"/>
    <w:rsid w:val="007379FE"/>
    <w:rsid w:val="007433A7"/>
    <w:rsid w:val="00746470"/>
    <w:rsid w:val="00747FEA"/>
    <w:rsid w:val="00750175"/>
    <w:rsid w:val="00750A5C"/>
    <w:rsid w:val="0075151C"/>
    <w:rsid w:val="007544A5"/>
    <w:rsid w:val="007557DF"/>
    <w:rsid w:val="00761442"/>
    <w:rsid w:val="0076285D"/>
    <w:rsid w:val="00767255"/>
    <w:rsid w:val="007704FD"/>
    <w:rsid w:val="0078428E"/>
    <w:rsid w:val="007856B4"/>
    <w:rsid w:val="007C401C"/>
    <w:rsid w:val="007E092E"/>
    <w:rsid w:val="00806EB9"/>
    <w:rsid w:val="00825A0D"/>
    <w:rsid w:val="00832C57"/>
    <w:rsid w:val="00865484"/>
    <w:rsid w:val="008821A6"/>
    <w:rsid w:val="008C760C"/>
    <w:rsid w:val="008F3916"/>
    <w:rsid w:val="00905173"/>
    <w:rsid w:val="0092009D"/>
    <w:rsid w:val="00922B9C"/>
    <w:rsid w:val="00923993"/>
    <w:rsid w:val="009273AE"/>
    <w:rsid w:val="00931DD5"/>
    <w:rsid w:val="00946FCF"/>
    <w:rsid w:val="00953779"/>
    <w:rsid w:val="00972AEA"/>
    <w:rsid w:val="009B0684"/>
    <w:rsid w:val="009C0564"/>
    <w:rsid w:val="009D5A38"/>
    <w:rsid w:val="009D7848"/>
    <w:rsid w:val="009F3A2A"/>
    <w:rsid w:val="00A0484A"/>
    <w:rsid w:val="00A0526A"/>
    <w:rsid w:val="00A21695"/>
    <w:rsid w:val="00A22FE7"/>
    <w:rsid w:val="00A2364F"/>
    <w:rsid w:val="00A24501"/>
    <w:rsid w:val="00A253FE"/>
    <w:rsid w:val="00A47886"/>
    <w:rsid w:val="00A5116C"/>
    <w:rsid w:val="00A55139"/>
    <w:rsid w:val="00A67C6B"/>
    <w:rsid w:val="00A776C1"/>
    <w:rsid w:val="00A93BCB"/>
    <w:rsid w:val="00A94B3D"/>
    <w:rsid w:val="00AC453A"/>
    <w:rsid w:val="00AC7C5D"/>
    <w:rsid w:val="00AF2BCD"/>
    <w:rsid w:val="00B21178"/>
    <w:rsid w:val="00B30D3B"/>
    <w:rsid w:val="00B44AA4"/>
    <w:rsid w:val="00B45C35"/>
    <w:rsid w:val="00B77FC1"/>
    <w:rsid w:val="00BD5C19"/>
    <w:rsid w:val="00BE277A"/>
    <w:rsid w:val="00C00073"/>
    <w:rsid w:val="00C2327D"/>
    <w:rsid w:val="00C37959"/>
    <w:rsid w:val="00C45767"/>
    <w:rsid w:val="00C51C42"/>
    <w:rsid w:val="00C8120C"/>
    <w:rsid w:val="00CB70D6"/>
    <w:rsid w:val="00CC48D3"/>
    <w:rsid w:val="00CE569B"/>
    <w:rsid w:val="00D1330F"/>
    <w:rsid w:val="00D276CE"/>
    <w:rsid w:val="00D352D3"/>
    <w:rsid w:val="00D50295"/>
    <w:rsid w:val="00D6163A"/>
    <w:rsid w:val="00D62478"/>
    <w:rsid w:val="00D81DA0"/>
    <w:rsid w:val="00D85251"/>
    <w:rsid w:val="00D966CC"/>
    <w:rsid w:val="00DB204C"/>
    <w:rsid w:val="00DD0896"/>
    <w:rsid w:val="00E55869"/>
    <w:rsid w:val="00E66793"/>
    <w:rsid w:val="00E7370F"/>
    <w:rsid w:val="00E85A77"/>
    <w:rsid w:val="00EA42EC"/>
    <w:rsid w:val="00EE3560"/>
    <w:rsid w:val="00EF42AB"/>
    <w:rsid w:val="00F414C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0860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14700</Words>
  <Characters>8380</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7</cp:revision>
  <cp:lastPrinted>2014-05-28T14:49:00Z</cp:lastPrinted>
  <dcterms:created xsi:type="dcterms:W3CDTF">2015-06-12T11:52:00Z</dcterms:created>
  <dcterms:modified xsi:type="dcterms:W3CDTF">2015-11-30T08:28:00Z</dcterms:modified>
</cp:coreProperties>
</file>